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tabs>
          <w:tab w:val="left" w:leader="none" w:pos="3220"/>
        </w:tabs>
        <w:spacing w:after="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A: List of Transparency Reports</w:t>
      </w:r>
    </w:p>
    <w:tbl>
      <w:tblPr>
        <w:tblStyle w:val="Table1"/>
        <w:tblW w:w="900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800"/>
        <w:gridCol w:w="2010"/>
        <w:gridCol w:w="2248"/>
        <w:tblGridChange w:id="0">
          <w:tblGrid>
            <w:gridCol w:w="2943"/>
            <w:gridCol w:w="1800"/>
            <w:gridCol w:w="2010"/>
            <w:gridCol w:w="2248"/>
          </w:tblGrid>
        </w:tblGridChange>
      </w:tblGrid>
      <w:tr>
        <w:trPr>
          <w:cantSplit w:val="0"/>
          <w:trHeight w:val="123" w:hRule="atLeast"/>
          <w:tblHeader w:val="0"/>
        </w:trPr>
        <w:tc>
          <w:tcPr>
            <w:vAlign w:val="center"/>
          </w:tcPr>
          <w:p w:rsidR="00000000" w:rsidDel="00000000" w:rsidP="00000000" w:rsidRDefault="00000000" w:rsidRPr="00000000" w14:paraId="0000000E">
            <w:pPr>
              <w:spacing w:after="240" w:lineRule="auto"/>
              <w:jc w:val="center"/>
              <w:rPr>
                <w:rFonts w:ascii="Arial" w:cs="Arial" w:eastAsia="Arial" w:hAnsi="Arial"/>
                <w:b w:val="1"/>
                <w:sz w:val="36"/>
                <w:szCs w:val="36"/>
              </w:rPr>
            </w:pPr>
            <w:r w:rsidDel="00000000" w:rsidR="00000000" w:rsidRPr="00000000">
              <w:rPr>
                <w:rFonts w:ascii="Arial" w:cs="Arial" w:eastAsia="Arial" w:hAnsi="Arial"/>
                <w:b w:val="1"/>
                <w:sz w:val="24"/>
                <w:szCs w:val="24"/>
                <w:rtl w:val="0"/>
              </w:rPr>
              <w:t xml:space="preserve">Title</w:t>
            </w:r>
            <w:r w:rsidDel="00000000" w:rsidR="00000000" w:rsidRPr="00000000">
              <w:rPr>
                <w:rtl w:val="0"/>
              </w:rPr>
            </w:r>
          </w:p>
        </w:tc>
        <w:tc>
          <w:tcPr/>
          <w:p w:rsidR="00000000" w:rsidDel="00000000" w:rsidP="00000000" w:rsidRDefault="00000000" w:rsidRPr="00000000" w14:paraId="0000000F">
            <w:pPr>
              <w:spacing w:after="240" w:lineRule="auto"/>
              <w:jc w:val="center"/>
              <w:rPr>
                <w:rFonts w:ascii="Arial" w:cs="Arial" w:eastAsia="Arial" w:hAnsi="Arial"/>
                <w:b w:val="1"/>
                <w:sz w:val="36"/>
                <w:szCs w:val="36"/>
              </w:rPr>
            </w:pPr>
            <w:r w:rsidDel="00000000" w:rsidR="00000000" w:rsidRPr="00000000">
              <w:rPr>
                <w:rFonts w:ascii="Arial" w:cs="Arial" w:eastAsia="Arial" w:hAnsi="Arial"/>
                <w:b w:val="1"/>
                <w:sz w:val="24"/>
                <w:szCs w:val="24"/>
                <w:rtl w:val="0"/>
              </w:rPr>
              <w:t xml:space="preserve">Content</w:t>
            </w:r>
            <w:r w:rsidDel="00000000" w:rsidR="00000000" w:rsidRPr="00000000">
              <w:rPr>
                <w:rtl w:val="0"/>
              </w:rPr>
            </w:r>
          </w:p>
        </w:tc>
        <w:tc>
          <w:tcPr/>
          <w:p w:rsidR="00000000" w:rsidDel="00000000" w:rsidP="00000000" w:rsidRDefault="00000000" w:rsidRPr="00000000" w14:paraId="00000010">
            <w:pPr>
              <w:spacing w:after="240" w:lineRule="auto"/>
              <w:jc w:val="center"/>
              <w:rPr>
                <w:rFonts w:ascii="Arial" w:cs="Arial" w:eastAsia="Arial" w:hAnsi="Arial"/>
                <w:b w:val="1"/>
                <w:sz w:val="36"/>
                <w:szCs w:val="36"/>
              </w:rPr>
            </w:pPr>
            <w:r w:rsidDel="00000000" w:rsidR="00000000" w:rsidRPr="00000000">
              <w:rPr>
                <w:rFonts w:ascii="Arial" w:cs="Arial" w:eastAsia="Arial" w:hAnsi="Arial"/>
                <w:b w:val="1"/>
                <w:sz w:val="24"/>
                <w:szCs w:val="24"/>
                <w:rtl w:val="0"/>
              </w:rPr>
              <w:t xml:space="preserve">Frequency</w:t>
            </w:r>
            <w:r w:rsidDel="00000000" w:rsidR="00000000" w:rsidRPr="00000000">
              <w:rPr>
                <w:rtl w:val="0"/>
              </w:rPr>
            </w:r>
          </w:p>
        </w:tc>
        <w:tc>
          <w:tcPr>
            <w:vAlign w:val="center"/>
          </w:tcPr>
          <w:p w:rsidR="00000000" w:rsidDel="00000000" w:rsidP="00000000" w:rsidRDefault="00000000" w:rsidRPr="00000000" w14:paraId="00000011">
            <w:pPr>
              <w:spacing w:after="240" w:lineRule="auto"/>
              <w:jc w:val="center"/>
              <w:rPr>
                <w:rFonts w:ascii="Arial" w:cs="Arial" w:eastAsia="Arial" w:hAnsi="Arial"/>
                <w:b w:val="1"/>
                <w:sz w:val="36"/>
                <w:szCs w:val="36"/>
              </w:rPr>
            </w:pPr>
            <w:r w:rsidDel="00000000" w:rsidR="00000000" w:rsidRPr="00000000">
              <w:rPr>
                <w:rFonts w:ascii="Arial" w:cs="Arial" w:eastAsia="Arial" w:hAnsi="Arial"/>
                <w:b w:val="1"/>
                <w:sz w:val="24"/>
                <w:szCs w:val="24"/>
                <w:rtl w:val="0"/>
              </w:rPr>
              <w:t xml:space="preserve">Title</w:t>
            </w:r>
            <w:r w:rsidDel="00000000" w:rsidR="00000000" w:rsidRPr="00000000">
              <w:rPr>
                <w:rtl w:val="0"/>
              </w:rPr>
            </w:r>
          </w:p>
        </w:tc>
      </w:tr>
      <w:tr>
        <w:trPr>
          <w:cantSplit w:val="0"/>
          <w:trHeight w:val="214" w:hRule="atLeast"/>
          <w:tblHeader w:val="0"/>
        </w:trPr>
        <w:tc>
          <w:tcPr>
            <w:vAlign w:val="center"/>
          </w:tcPr>
          <w:p w:rsidR="00000000" w:rsidDel="00000000" w:rsidP="00000000" w:rsidRDefault="00000000" w:rsidRPr="00000000" w14:paraId="00000012">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Contract Performance</w:t>
            </w:r>
            <w:r w:rsidDel="00000000" w:rsidR="00000000" w:rsidRPr="00000000">
              <w:rPr>
                <w:rtl w:val="0"/>
              </w:rPr>
            </w:r>
          </w:p>
        </w:tc>
        <w:tc>
          <w:tcPr/>
          <w:p w:rsidR="00000000" w:rsidDel="00000000" w:rsidP="00000000" w:rsidRDefault="00000000" w:rsidRPr="00000000" w14:paraId="00000013">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Monthly breakdown of the Supplier’s performance against the SLAs and KPIs detailed in the Contract.</w:t>
            </w:r>
            <w:r w:rsidDel="00000000" w:rsidR="00000000" w:rsidRPr="00000000">
              <w:rPr>
                <w:rtl w:val="0"/>
              </w:rPr>
            </w:r>
          </w:p>
        </w:tc>
        <w:tc>
          <w:tcPr/>
          <w:p w:rsidR="00000000" w:rsidDel="00000000" w:rsidP="00000000" w:rsidRDefault="00000000" w:rsidRPr="00000000" w14:paraId="00000014">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Quarterly</w:t>
            </w:r>
            <w:r w:rsidDel="00000000" w:rsidR="00000000" w:rsidRPr="00000000">
              <w:rPr>
                <w:rtl w:val="0"/>
              </w:rPr>
            </w:r>
          </w:p>
        </w:tc>
        <w:tc>
          <w:tcPr>
            <w:vAlign w:val="center"/>
          </w:tcPr>
          <w:p w:rsidR="00000000" w:rsidDel="00000000" w:rsidP="00000000" w:rsidRDefault="00000000" w:rsidRPr="00000000" w14:paraId="00000015">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Contract Performance</w:t>
            </w:r>
            <w:r w:rsidDel="00000000" w:rsidR="00000000" w:rsidRPr="00000000">
              <w:rPr>
                <w:rtl w:val="0"/>
              </w:rPr>
            </w:r>
          </w:p>
        </w:tc>
      </w:tr>
      <w:tr>
        <w:trPr>
          <w:cantSplit w:val="0"/>
          <w:trHeight w:val="155" w:hRule="atLeast"/>
          <w:tblHeader w:val="0"/>
        </w:trPr>
        <w:tc>
          <w:tcPr>
            <w:vAlign w:val="center"/>
          </w:tcPr>
          <w:p w:rsidR="00000000" w:rsidDel="00000000" w:rsidP="00000000" w:rsidRDefault="00000000" w:rsidRPr="00000000" w14:paraId="00000016">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Contract Charges</w:t>
            </w:r>
            <w:r w:rsidDel="00000000" w:rsidR="00000000" w:rsidRPr="00000000">
              <w:rPr>
                <w:rtl w:val="0"/>
              </w:rPr>
            </w:r>
          </w:p>
        </w:tc>
        <w:tc>
          <w:tcPr/>
          <w:p w:rsidR="00000000" w:rsidDel="00000000" w:rsidP="00000000" w:rsidRDefault="00000000" w:rsidRPr="00000000" w14:paraId="00000017">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Monthly breakdown of the Contract Charges, including itemised billable works and any Contract variations.</w:t>
            </w:r>
            <w:r w:rsidDel="00000000" w:rsidR="00000000" w:rsidRPr="00000000">
              <w:rPr>
                <w:rtl w:val="0"/>
              </w:rPr>
            </w:r>
          </w:p>
        </w:tc>
        <w:tc>
          <w:tcPr/>
          <w:p w:rsidR="00000000" w:rsidDel="00000000" w:rsidP="00000000" w:rsidRDefault="00000000" w:rsidRPr="00000000" w14:paraId="00000018">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Quarterly</w:t>
            </w:r>
            <w:r w:rsidDel="00000000" w:rsidR="00000000" w:rsidRPr="00000000">
              <w:rPr>
                <w:rtl w:val="0"/>
              </w:rPr>
            </w:r>
          </w:p>
        </w:tc>
        <w:tc>
          <w:tcPr>
            <w:vAlign w:val="center"/>
          </w:tcPr>
          <w:p w:rsidR="00000000" w:rsidDel="00000000" w:rsidP="00000000" w:rsidRDefault="00000000" w:rsidRPr="00000000" w14:paraId="00000019">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Contract Charges</w:t>
            </w:r>
            <w:r w:rsidDel="00000000" w:rsidR="00000000" w:rsidRPr="00000000">
              <w:rPr>
                <w:rtl w:val="0"/>
              </w:rPr>
            </w:r>
          </w:p>
        </w:tc>
      </w:tr>
      <w:tr>
        <w:trPr>
          <w:cantSplit w:val="0"/>
          <w:trHeight w:val="155" w:hRule="atLeast"/>
          <w:tblHeader w:val="0"/>
        </w:trPr>
        <w:tc>
          <w:tcPr>
            <w:vAlign w:val="center"/>
          </w:tcPr>
          <w:p w:rsidR="00000000" w:rsidDel="00000000" w:rsidP="00000000" w:rsidRDefault="00000000" w:rsidRPr="00000000" w14:paraId="0000001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Supply Chains</w:t>
            </w:r>
          </w:p>
        </w:tc>
        <w:tc>
          <w:tcPr/>
          <w:p w:rsidR="00000000" w:rsidDel="00000000" w:rsidP="00000000" w:rsidRDefault="00000000" w:rsidRPr="00000000" w14:paraId="0000001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Summary of the steps the Supplier has taken to review and monitor its Supply Chains as they relate to the Contract, to include the details of any related Rectification actions.  </w:t>
            </w:r>
          </w:p>
        </w:tc>
        <w:tc>
          <w:tcPr/>
          <w:p w:rsidR="00000000" w:rsidDel="00000000" w:rsidP="00000000" w:rsidRDefault="00000000" w:rsidRPr="00000000" w14:paraId="0000001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c>
          <w:tcPr>
            <w:vAlign w:val="center"/>
          </w:tcPr>
          <w:p w:rsidR="00000000" w:rsidDel="00000000" w:rsidP="00000000" w:rsidRDefault="00000000" w:rsidRPr="00000000" w14:paraId="0000001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Supply Chains</w:t>
            </w:r>
          </w:p>
        </w:tc>
      </w:tr>
      <w:tr>
        <w:trPr>
          <w:cantSplit w:val="0"/>
          <w:trHeight w:val="155" w:hRule="atLeast"/>
          <w:tblHeader w:val="0"/>
        </w:trPr>
        <w:tc>
          <w:tcPr>
            <w:vAlign w:val="center"/>
          </w:tcPr>
          <w:p w:rsidR="00000000" w:rsidDel="00000000" w:rsidP="00000000" w:rsidRDefault="00000000" w:rsidRPr="00000000" w14:paraId="0000001E">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Rectification Plans</w:t>
            </w:r>
            <w:r w:rsidDel="00000000" w:rsidR="00000000" w:rsidRPr="00000000">
              <w:rPr>
                <w:rtl w:val="0"/>
              </w:rPr>
            </w:r>
          </w:p>
        </w:tc>
        <w:tc>
          <w:tcPr/>
          <w:p w:rsidR="00000000" w:rsidDel="00000000" w:rsidP="00000000" w:rsidRDefault="00000000" w:rsidRPr="00000000" w14:paraId="0000001F">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Summary of any Rectification plans agreed, including the cause, solution and total time for resolution.</w:t>
            </w:r>
            <w:r w:rsidDel="00000000" w:rsidR="00000000" w:rsidRPr="00000000">
              <w:rPr>
                <w:rtl w:val="0"/>
              </w:rPr>
            </w:r>
          </w:p>
        </w:tc>
        <w:tc>
          <w:tcPr/>
          <w:p w:rsidR="00000000" w:rsidDel="00000000" w:rsidP="00000000" w:rsidRDefault="00000000" w:rsidRPr="00000000" w14:paraId="00000020">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Annually</w:t>
            </w:r>
            <w:r w:rsidDel="00000000" w:rsidR="00000000" w:rsidRPr="00000000">
              <w:rPr>
                <w:rtl w:val="0"/>
              </w:rPr>
            </w:r>
          </w:p>
        </w:tc>
        <w:tc>
          <w:tcPr>
            <w:vAlign w:val="center"/>
          </w:tcPr>
          <w:p w:rsidR="00000000" w:rsidDel="00000000" w:rsidP="00000000" w:rsidRDefault="00000000" w:rsidRPr="00000000" w14:paraId="00000021">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Rectification Plans</w:t>
            </w:r>
            <w:r w:rsidDel="00000000" w:rsidR="00000000" w:rsidRPr="00000000">
              <w:rPr>
                <w:rtl w:val="0"/>
              </w:rPr>
            </w:r>
          </w:p>
        </w:tc>
      </w:tr>
      <w:tr>
        <w:trPr>
          <w:cantSplit w:val="0"/>
          <w:trHeight w:val="214" w:hRule="atLeast"/>
          <w:tblHeader w:val="0"/>
        </w:trPr>
        <w:tc>
          <w:tcPr>
            <w:vAlign w:val="center"/>
          </w:tcPr>
          <w:p w:rsidR="00000000" w:rsidDel="00000000" w:rsidP="00000000" w:rsidRDefault="00000000" w:rsidRPr="00000000" w14:paraId="00000022">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Social Value Outcomes</w:t>
            </w:r>
            <w:r w:rsidDel="00000000" w:rsidR="00000000" w:rsidRPr="00000000">
              <w:rPr>
                <w:rtl w:val="0"/>
              </w:rPr>
            </w:r>
          </w:p>
        </w:tc>
        <w:tc>
          <w:tcPr/>
          <w:p w:rsidR="00000000" w:rsidDel="00000000" w:rsidP="00000000" w:rsidRDefault="00000000" w:rsidRPr="00000000" w14:paraId="00000023">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Breakdown of the social value outcomes delivered against the commitments included in the Contract.</w:t>
            </w:r>
            <w:r w:rsidDel="00000000" w:rsidR="00000000" w:rsidRPr="00000000">
              <w:rPr>
                <w:rtl w:val="0"/>
              </w:rPr>
            </w:r>
          </w:p>
        </w:tc>
        <w:tc>
          <w:tcPr/>
          <w:p w:rsidR="00000000" w:rsidDel="00000000" w:rsidP="00000000" w:rsidRDefault="00000000" w:rsidRPr="00000000" w14:paraId="00000024">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Annually</w:t>
            </w:r>
            <w:r w:rsidDel="00000000" w:rsidR="00000000" w:rsidRPr="00000000">
              <w:rPr>
                <w:rtl w:val="0"/>
              </w:rPr>
            </w:r>
          </w:p>
        </w:tc>
        <w:tc>
          <w:tcPr>
            <w:vAlign w:val="center"/>
          </w:tcPr>
          <w:p w:rsidR="00000000" w:rsidDel="00000000" w:rsidP="00000000" w:rsidRDefault="00000000" w:rsidRPr="00000000" w14:paraId="00000025">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Social Value Outcomes</w:t>
            </w:r>
            <w:r w:rsidDel="00000000" w:rsidR="00000000" w:rsidRPr="00000000">
              <w:rPr>
                <w:rtl w:val="0"/>
              </w:rPr>
            </w:r>
          </w:p>
        </w:tc>
      </w:tr>
      <w:tr>
        <w:trPr>
          <w:cantSplit w:val="0"/>
          <w:trHeight w:val="214" w:hRule="atLeast"/>
          <w:tblHeader w:val="0"/>
        </w:trPr>
        <w:tc>
          <w:tcPr>
            <w:vAlign w:val="center"/>
          </w:tcPr>
          <w:p w:rsidR="00000000" w:rsidDel="00000000" w:rsidP="00000000" w:rsidRDefault="00000000" w:rsidRPr="00000000" w14:paraId="00000026">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Open Book Data and Reporting</w:t>
            </w:r>
            <w:r w:rsidDel="00000000" w:rsidR="00000000" w:rsidRPr="00000000">
              <w:rPr>
                <w:rtl w:val="0"/>
              </w:rPr>
            </w:r>
          </w:p>
        </w:tc>
        <w:tc>
          <w:tcPr/>
          <w:p w:rsidR="00000000" w:rsidDel="00000000" w:rsidP="00000000" w:rsidRDefault="00000000" w:rsidRPr="00000000" w14:paraId="00000027">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Breakdown of complete and accurate financial and non-financial information as described in the Call-Off Contract.</w:t>
            </w:r>
            <w:r w:rsidDel="00000000" w:rsidR="00000000" w:rsidRPr="00000000">
              <w:rPr>
                <w:rtl w:val="0"/>
              </w:rPr>
            </w:r>
          </w:p>
        </w:tc>
        <w:tc>
          <w:tcPr/>
          <w:p w:rsidR="00000000" w:rsidDel="00000000" w:rsidP="00000000" w:rsidRDefault="00000000" w:rsidRPr="00000000" w14:paraId="00000028">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Annually</w:t>
            </w:r>
            <w:r w:rsidDel="00000000" w:rsidR="00000000" w:rsidRPr="00000000">
              <w:rPr>
                <w:rtl w:val="0"/>
              </w:rPr>
            </w:r>
          </w:p>
        </w:tc>
        <w:tc>
          <w:tcPr>
            <w:vAlign w:val="center"/>
          </w:tcPr>
          <w:p w:rsidR="00000000" w:rsidDel="00000000" w:rsidP="00000000" w:rsidRDefault="00000000" w:rsidRPr="00000000" w14:paraId="00000029">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Open Book Data and Reporting</w:t>
            </w:r>
            <w:r w:rsidDel="00000000" w:rsidR="00000000" w:rsidRPr="00000000">
              <w:rPr>
                <w:rtl w:val="0"/>
              </w:rPr>
            </w:r>
          </w:p>
        </w:tc>
      </w:tr>
      <w:tr>
        <w:trPr>
          <w:cantSplit w:val="0"/>
          <w:trHeight w:val="214" w:hRule="atLeast"/>
          <w:tblHeader w:val="0"/>
        </w:trPr>
        <w:tc>
          <w:tcPr>
            <w:vAlign w:val="center"/>
          </w:tcPr>
          <w:p w:rsidR="00000000" w:rsidDel="00000000" w:rsidP="00000000" w:rsidRDefault="00000000" w:rsidRPr="00000000" w14:paraId="0000002A">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SME Report</w:t>
            </w:r>
            <w:r w:rsidDel="00000000" w:rsidR="00000000" w:rsidRPr="00000000">
              <w:rPr>
                <w:rtl w:val="0"/>
              </w:rPr>
            </w:r>
          </w:p>
        </w:tc>
        <w:tc>
          <w:tcPr/>
          <w:p w:rsidR="00000000" w:rsidDel="00000000" w:rsidP="00000000" w:rsidRDefault="00000000" w:rsidRPr="00000000" w14:paraId="0000002B">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Breakdown of SMEs used in the delivery of Services. To include SME details, organisation size, services and portion of the Contract delivered by each SME.</w:t>
            </w:r>
            <w:r w:rsidDel="00000000" w:rsidR="00000000" w:rsidRPr="00000000">
              <w:rPr>
                <w:rtl w:val="0"/>
              </w:rPr>
            </w:r>
          </w:p>
        </w:tc>
        <w:tc>
          <w:tcPr/>
          <w:p w:rsidR="00000000" w:rsidDel="00000000" w:rsidP="00000000" w:rsidRDefault="00000000" w:rsidRPr="00000000" w14:paraId="0000002C">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Annually</w:t>
            </w:r>
            <w:r w:rsidDel="00000000" w:rsidR="00000000" w:rsidRPr="00000000">
              <w:rPr>
                <w:rtl w:val="0"/>
              </w:rPr>
            </w:r>
          </w:p>
        </w:tc>
        <w:tc>
          <w:tcPr>
            <w:vAlign w:val="center"/>
          </w:tcPr>
          <w:p w:rsidR="00000000" w:rsidDel="00000000" w:rsidP="00000000" w:rsidRDefault="00000000" w:rsidRPr="00000000" w14:paraId="0000002D">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SME Report</w:t>
            </w:r>
            <w:r w:rsidDel="00000000" w:rsidR="00000000" w:rsidRPr="00000000">
              <w:rPr>
                <w:rtl w:val="0"/>
              </w:rPr>
            </w:r>
          </w:p>
        </w:tc>
      </w:tr>
      <w:tr>
        <w:trPr>
          <w:cantSplit w:val="0"/>
          <w:trHeight w:val="214" w:hRule="atLeast"/>
          <w:tblHeader w:val="0"/>
        </w:trPr>
        <w:tc>
          <w:tcPr>
            <w:vAlign w:val="center"/>
          </w:tcPr>
          <w:p w:rsidR="00000000" w:rsidDel="00000000" w:rsidP="00000000" w:rsidRDefault="00000000" w:rsidRPr="00000000" w14:paraId="0000002E">
            <w:pPr>
              <w:spacing w:after="240" w:lineRule="auto"/>
              <w:jc w:val="center"/>
              <w:rPr>
                <w:rFonts w:ascii="Arial" w:cs="Arial" w:eastAsia="Arial" w:hAnsi="Arial"/>
                <w:b w:val="1"/>
                <w:sz w:val="36"/>
                <w:szCs w:val="36"/>
              </w:rPr>
            </w:pPr>
            <w:r w:rsidDel="00000000" w:rsidR="00000000" w:rsidRPr="00000000">
              <w:rPr>
                <w:rFonts w:ascii="Arial" w:cs="Arial" w:eastAsia="Arial" w:hAnsi="Arial"/>
                <w:b w:val="1"/>
                <w:sz w:val="24"/>
                <w:szCs w:val="24"/>
                <w:rtl w:val="0"/>
              </w:rPr>
              <w:t xml:space="preserve">Title</w:t>
            </w:r>
            <w:r w:rsidDel="00000000" w:rsidR="00000000" w:rsidRPr="00000000">
              <w:rPr>
                <w:rtl w:val="0"/>
              </w:rPr>
            </w:r>
          </w:p>
        </w:tc>
        <w:tc>
          <w:tcPr/>
          <w:p w:rsidR="00000000" w:rsidDel="00000000" w:rsidP="00000000" w:rsidRDefault="00000000" w:rsidRPr="00000000" w14:paraId="0000002F">
            <w:pPr>
              <w:spacing w:after="240" w:lineRule="auto"/>
              <w:jc w:val="center"/>
              <w:rPr>
                <w:rFonts w:ascii="Arial" w:cs="Arial" w:eastAsia="Arial" w:hAnsi="Arial"/>
                <w:b w:val="1"/>
                <w:sz w:val="36"/>
                <w:szCs w:val="36"/>
              </w:rPr>
            </w:pPr>
            <w:r w:rsidDel="00000000" w:rsidR="00000000" w:rsidRPr="00000000">
              <w:rPr>
                <w:rFonts w:ascii="Arial" w:cs="Arial" w:eastAsia="Arial" w:hAnsi="Arial"/>
                <w:b w:val="1"/>
                <w:sz w:val="24"/>
                <w:szCs w:val="24"/>
                <w:rtl w:val="0"/>
              </w:rPr>
              <w:t xml:space="preserve">Content</w:t>
            </w:r>
            <w:r w:rsidDel="00000000" w:rsidR="00000000" w:rsidRPr="00000000">
              <w:rPr>
                <w:rtl w:val="0"/>
              </w:rPr>
            </w:r>
          </w:p>
        </w:tc>
        <w:tc>
          <w:tcPr/>
          <w:p w:rsidR="00000000" w:rsidDel="00000000" w:rsidP="00000000" w:rsidRDefault="00000000" w:rsidRPr="00000000" w14:paraId="00000030">
            <w:pPr>
              <w:spacing w:after="240" w:lineRule="auto"/>
              <w:jc w:val="center"/>
              <w:rPr>
                <w:rFonts w:ascii="Arial" w:cs="Arial" w:eastAsia="Arial" w:hAnsi="Arial"/>
                <w:b w:val="1"/>
                <w:sz w:val="36"/>
                <w:szCs w:val="36"/>
              </w:rPr>
            </w:pPr>
            <w:r w:rsidDel="00000000" w:rsidR="00000000" w:rsidRPr="00000000">
              <w:rPr>
                <w:rFonts w:ascii="Arial" w:cs="Arial" w:eastAsia="Arial" w:hAnsi="Arial"/>
                <w:b w:val="1"/>
                <w:sz w:val="24"/>
                <w:szCs w:val="24"/>
                <w:rtl w:val="0"/>
              </w:rPr>
              <w:t xml:space="preserve">Frequency</w:t>
            </w:r>
            <w:r w:rsidDel="00000000" w:rsidR="00000000" w:rsidRPr="00000000">
              <w:rPr>
                <w:rtl w:val="0"/>
              </w:rPr>
            </w:r>
          </w:p>
        </w:tc>
        <w:tc>
          <w:tcPr>
            <w:vAlign w:val="center"/>
          </w:tcPr>
          <w:p w:rsidR="00000000" w:rsidDel="00000000" w:rsidP="00000000" w:rsidRDefault="00000000" w:rsidRPr="00000000" w14:paraId="00000031">
            <w:pPr>
              <w:spacing w:after="240" w:lineRule="auto"/>
              <w:jc w:val="center"/>
              <w:rPr>
                <w:rFonts w:ascii="Arial" w:cs="Arial" w:eastAsia="Arial" w:hAnsi="Arial"/>
                <w:b w:val="1"/>
                <w:sz w:val="36"/>
                <w:szCs w:val="36"/>
              </w:rPr>
            </w:pPr>
            <w:r w:rsidDel="00000000" w:rsidR="00000000" w:rsidRPr="00000000">
              <w:rPr>
                <w:rFonts w:ascii="Arial" w:cs="Arial" w:eastAsia="Arial" w:hAnsi="Arial"/>
                <w:b w:val="1"/>
                <w:sz w:val="24"/>
                <w:szCs w:val="24"/>
                <w:rtl w:val="0"/>
              </w:rPr>
              <w:t xml:space="preserve">Title</w:t>
            </w:r>
            <w:r w:rsidDel="00000000" w:rsidR="00000000" w:rsidRPr="00000000">
              <w:rPr>
                <w:rtl w:val="0"/>
              </w:rPr>
            </w:r>
          </w:p>
        </w:tc>
      </w:tr>
      <w:tr>
        <w:trPr>
          <w:cantSplit w:val="0"/>
          <w:trHeight w:val="214" w:hRule="atLeast"/>
          <w:tblHeader w:val="0"/>
        </w:trPr>
        <w:tc>
          <w:tcPr>
            <w:vAlign w:val="center"/>
          </w:tcPr>
          <w:p w:rsidR="00000000" w:rsidDel="00000000" w:rsidP="00000000" w:rsidRDefault="00000000" w:rsidRPr="00000000" w14:paraId="00000032">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Contract Performance</w:t>
            </w:r>
            <w:r w:rsidDel="00000000" w:rsidR="00000000" w:rsidRPr="00000000">
              <w:rPr>
                <w:rtl w:val="0"/>
              </w:rPr>
            </w:r>
          </w:p>
        </w:tc>
        <w:tc>
          <w:tcPr/>
          <w:p w:rsidR="00000000" w:rsidDel="00000000" w:rsidP="00000000" w:rsidRDefault="00000000" w:rsidRPr="00000000" w14:paraId="00000033">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Monthly breakdown of the Supplier’s performance against the SLAs and KPIs detailed in the Contract.</w:t>
            </w:r>
            <w:r w:rsidDel="00000000" w:rsidR="00000000" w:rsidRPr="00000000">
              <w:rPr>
                <w:rtl w:val="0"/>
              </w:rPr>
            </w:r>
          </w:p>
        </w:tc>
        <w:tc>
          <w:tcPr/>
          <w:p w:rsidR="00000000" w:rsidDel="00000000" w:rsidP="00000000" w:rsidRDefault="00000000" w:rsidRPr="00000000" w14:paraId="00000034">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Quarterly</w:t>
            </w:r>
            <w:r w:rsidDel="00000000" w:rsidR="00000000" w:rsidRPr="00000000">
              <w:rPr>
                <w:rtl w:val="0"/>
              </w:rPr>
            </w:r>
          </w:p>
        </w:tc>
        <w:tc>
          <w:tcPr>
            <w:vAlign w:val="center"/>
          </w:tcPr>
          <w:p w:rsidR="00000000" w:rsidDel="00000000" w:rsidP="00000000" w:rsidRDefault="00000000" w:rsidRPr="00000000" w14:paraId="00000035">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Contract Performance</w:t>
            </w:r>
            <w:r w:rsidDel="00000000" w:rsidR="00000000" w:rsidRPr="00000000">
              <w:rPr>
                <w:rtl w:val="0"/>
              </w:rPr>
            </w:r>
          </w:p>
        </w:tc>
      </w:tr>
      <w:tr>
        <w:trPr>
          <w:cantSplit w:val="0"/>
          <w:trHeight w:val="214" w:hRule="atLeast"/>
          <w:tblHeader w:val="0"/>
        </w:trPr>
        <w:tc>
          <w:tcPr>
            <w:vAlign w:val="center"/>
          </w:tcPr>
          <w:p w:rsidR="00000000" w:rsidDel="00000000" w:rsidP="00000000" w:rsidRDefault="00000000" w:rsidRPr="00000000" w14:paraId="00000036">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Contract Charges</w:t>
            </w:r>
            <w:r w:rsidDel="00000000" w:rsidR="00000000" w:rsidRPr="00000000">
              <w:rPr>
                <w:rtl w:val="0"/>
              </w:rPr>
            </w:r>
          </w:p>
        </w:tc>
        <w:tc>
          <w:tcPr/>
          <w:p w:rsidR="00000000" w:rsidDel="00000000" w:rsidP="00000000" w:rsidRDefault="00000000" w:rsidRPr="00000000" w14:paraId="00000037">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Monthly breakdown of the Contract Charges, including itemised billable works and any Contract variations.</w:t>
            </w:r>
            <w:r w:rsidDel="00000000" w:rsidR="00000000" w:rsidRPr="00000000">
              <w:rPr>
                <w:rtl w:val="0"/>
              </w:rPr>
            </w:r>
          </w:p>
        </w:tc>
        <w:tc>
          <w:tcPr/>
          <w:p w:rsidR="00000000" w:rsidDel="00000000" w:rsidP="00000000" w:rsidRDefault="00000000" w:rsidRPr="00000000" w14:paraId="00000038">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Quarterly</w:t>
            </w:r>
            <w:r w:rsidDel="00000000" w:rsidR="00000000" w:rsidRPr="00000000">
              <w:rPr>
                <w:rtl w:val="0"/>
              </w:rPr>
            </w:r>
          </w:p>
        </w:tc>
        <w:tc>
          <w:tcPr>
            <w:vAlign w:val="center"/>
          </w:tcPr>
          <w:p w:rsidR="00000000" w:rsidDel="00000000" w:rsidP="00000000" w:rsidRDefault="00000000" w:rsidRPr="00000000" w14:paraId="00000039">
            <w:pPr>
              <w:spacing w:after="240" w:lineRule="auto"/>
              <w:rPr>
                <w:rFonts w:ascii="Arial" w:cs="Arial" w:eastAsia="Arial" w:hAnsi="Arial"/>
                <w:b w:val="1"/>
                <w:sz w:val="36"/>
                <w:szCs w:val="36"/>
              </w:rPr>
            </w:pPr>
            <w:r w:rsidDel="00000000" w:rsidR="00000000" w:rsidRPr="00000000">
              <w:rPr>
                <w:rFonts w:ascii="Arial" w:cs="Arial" w:eastAsia="Arial" w:hAnsi="Arial"/>
                <w:sz w:val="24"/>
                <w:szCs w:val="24"/>
                <w:rtl w:val="0"/>
              </w:rPr>
              <w:t xml:space="preserve">Contract Charges</w:t>
            </w:r>
            <w:r w:rsidDel="00000000" w:rsidR="00000000" w:rsidRPr="00000000">
              <w:rPr>
                <w:rtl w:val="0"/>
              </w:rPr>
            </w:r>
          </w:p>
        </w:tc>
      </w:tr>
    </w:tbl>
    <w:bookmarkStart w:colFirst="0" w:colLast="0" w:name="bookmark=id.gjdgxs" w:id="0"/>
    <w:bookmarkEnd w:id="0"/>
    <w:p w:rsidR="00000000" w:rsidDel="00000000" w:rsidP="00000000" w:rsidRDefault="00000000" w:rsidRPr="00000000" w14:paraId="0000003A">
      <w:pPr>
        <w:tabs>
          <w:tab w:val="left" w:leader="none" w:pos="1251"/>
        </w:tabs>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B">
      <w:pPr>
        <w:tabs>
          <w:tab w:val="left" w:leader="none"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                                           </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bookmarkStart w:colFirst="0" w:colLast="0" w:name="_heading=h.30j0zll" w:id="2"/>
    <w:bookmarkEnd w:id="2"/>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E">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 (Transparency Reports)</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bookmarkStart w:colFirst="0" w:colLast="0" w:name="_heading=h.1fob9te" w:id="1"/>
    <w:bookmarkEnd w:id="1"/>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 (Transparency Reports)</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i w:val="1"/>
        <w:color w:val="000000"/>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NormalWeb">
    <w:name w:val="Normal (Web)"/>
    <w:basedOn w:val="Normal"/>
    <w:uiPriority w:val="99"/>
    <w:semiHidden w:val="1"/>
    <w:unhideWhenUsed w:val="1"/>
    <w:rsid w:val="008D5EF6"/>
    <w:pPr>
      <w:spacing w:after="100" w:afterAutospacing="1" w:before="100" w:beforeAutospacing="1" w:line="240" w:lineRule="auto"/>
    </w:pPr>
    <w:rPr>
      <w:rFonts w:ascii="Times New Roman" w:cs="Times New Roman" w:eastAsia="Times New Roman" w:hAnsi="Times New Roman"/>
      <w:sz w:val="24"/>
      <w:szCs w:val="24"/>
    </w:rPr>
  </w:style>
  <w:style w:type="character" w:styleId="apple-tab-span" w:customStyle="1">
    <w:name w:val="apple-tab-span"/>
    <w:basedOn w:val="DefaultParagraphFont"/>
    <w:rsid w:val="008D5EF6"/>
  </w:style>
  <w:style w:type="table" w:styleId="a0"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KEJtRNZZtUsF4JSHF2o3Hq4L8A==">CgMxLjAyCWlkLmdqZGd4czIJaC4xZm9iOXRlMgloLjMwajB6bGw4AHIhMVJTbExQSmljNTNYUk1WLXQ4TnBIcUE5R01Kc0tHT2Jw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2024-11-27T09:31:00Z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0x0101002764AF0AF017AC4E89BEB950B1BC77C2</vt:lpwstr>
  </property>
  <property fmtid="{D5CDD505-2E9C-101B-9397-08002B2CF9AE}" pid="4" name="_dlc_DocIdItemGuid">
    <vt:lpwstr>8b9426a6-57a3-41c7-9192-5899b4c34182</vt:lpwstr>
  </property>
  <property fmtid="{D5CDD505-2E9C-101B-9397-08002B2CF9AE}" pid="5" name="MediaServiceImageTags">
    <vt:lpwstr/>
  </property>
</Properties>
</file>